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5B" w:rsidRDefault="00BE355B" w:rsidP="004B3F84">
      <w:pPr>
        <w:rPr>
          <w:b/>
          <w:sz w:val="24"/>
          <w:szCs w:val="24"/>
        </w:rPr>
      </w:pPr>
      <w:bookmarkStart w:id="0" w:name="_GoBack"/>
      <w:bookmarkEnd w:id="0"/>
      <w:r>
        <w:rPr>
          <w:b/>
          <w:noProof/>
          <w:sz w:val="24"/>
          <w:szCs w:val="24"/>
        </w:rPr>
        <w:drawing>
          <wp:anchor distT="0" distB="0" distL="114300" distR="114300" simplePos="0" relativeHeight="251658240" behindDoc="1" locked="0" layoutInCell="1" allowOverlap="1" wp14:anchorId="12DC7160" wp14:editId="2DF62F1E">
            <wp:simplePos x="0" y="0"/>
            <wp:positionH relativeFrom="column">
              <wp:posOffset>2124075</wp:posOffset>
            </wp:positionH>
            <wp:positionV relativeFrom="paragraph">
              <wp:posOffset>468630</wp:posOffset>
            </wp:positionV>
            <wp:extent cx="2324100" cy="1076325"/>
            <wp:effectExtent l="0" t="0" r="0" b="952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4B3F84" w:rsidRPr="004B3F84">
        <w:rPr>
          <w:b/>
          <w:sz w:val="24"/>
          <w:szCs w:val="24"/>
        </w:rPr>
        <w:t xml:space="preserve">Inquiry Question: </w:t>
      </w:r>
      <w:r w:rsidR="004B3F84" w:rsidRPr="004B3F84">
        <w:rPr>
          <w:sz w:val="24"/>
          <w:szCs w:val="24"/>
        </w:rPr>
        <w:t xml:space="preserve">How can </w:t>
      </w:r>
      <w:r w:rsidR="00CB484C">
        <w:rPr>
          <w:sz w:val="24"/>
          <w:szCs w:val="24"/>
        </w:rPr>
        <w:t>I invit</w:t>
      </w:r>
      <w:r w:rsidR="00FE4D36">
        <w:rPr>
          <w:sz w:val="24"/>
          <w:szCs w:val="24"/>
        </w:rPr>
        <w:t>e teachers to engage in</w:t>
      </w:r>
      <w:r w:rsidR="004B3F84" w:rsidRPr="004B3F84">
        <w:rPr>
          <w:sz w:val="24"/>
          <w:szCs w:val="24"/>
        </w:rPr>
        <w:t xml:space="preserve"> their own writing lives in o</w:t>
      </w:r>
      <w:r w:rsidR="00FE4D36">
        <w:rPr>
          <w:sz w:val="24"/>
          <w:szCs w:val="24"/>
        </w:rPr>
        <w:t>rder to</w:t>
      </w:r>
      <w:r w:rsidR="004B3F84" w:rsidRPr="004B3F84">
        <w:rPr>
          <w:sz w:val="24"/>
          <w:szCs w:val="24"/>
        </w:rPr>
        <w:t xml:space="preserve"> inform their decisions about the teaching of writing?</w:t>
      </w:r>
    </w:p>
    <w:p w:rsidR="00BE355B" w:rsidRDefault="00BE355B" w:rsidP="004B3F84">
      <w:pPr>
        <w:rPr>
          <w:b/>
          <w:sz w:val="24"/>
          <w:szCs w:val="24"/>
        </w:rPr>
      </w:pPr>
    </w:p>
    <w:p w:rsidR="00BE355B" w:rsidRDefault="00BE355B" w:rsidP="004B3F84">
      <w:pPr>
        <w:rPr>
          <w:b/>
          <w:sz w:val="24"/>
          <w:szCs w:val="24"/>
        </w:rPr>
      </w:pPr>
    </w:p>
    <w:p w:rsidR="00875F96" w:rsidRDefault="00875F96" w:rsidP="004B3F84">
      <w:pPr>
        <w:rPr>
          <w:b/>
          <w:sz w:val="24"/>
          <w:szCs w:val="24"/>
        </w:rPr>
      </w:pPr>
    </w:p>
    <w:p w:rsidR="004B3F84" w:rsidRPr="004B3F84" w:rsidRDefault="00336707" w:rsidP="004B3F84">
      <w:pPr>
        <w:rPr>
          <w:b/>
          <w:sz w:val="24"/>
          <w:szCs w:val="24"/>
        </w:rPr>
      </w:pPr>
      <w:r>
        <w:rPr>
          <w:b/>
          <w:sz w:val="24"/>
          <w:szCs w:val="24"/>
        </w:rPr>
        <w:t xml:space="preserve">What </w:t>
      </w:r>
      <w:r w:rsidR="004B3F84">
        <w:rPr>
          <w:b/>
          <w:sz w:val="24"/>
          <w:szCs w:val="24"/>
        </w:rPr>
        <w:t xml:space="preserve">Research </w:t>
      </w:r>
      <w:r w:rsidR="00E7313C">
        <w:rPr>
          <w:b/>
          <w:sz w:val="24"/>
          <w:szCs w:val="24"/>
        </w:rPr>
        <w:t>Says:</w:t>
      </w:r>
      <w:r w:rsidR="004B3F84" w:rsidRPr="004B3F84">
        <w:rPr>
          <w:b/>
          <w:sz w:val="24"/>
          <w:szCs w:val="24"/>
        </w:rPr>
        <w:t xml:space="preserve"> </w:t>
      </w:r>
    </w:p>
    <w:p w:rsidR="004B3F84" w:rsidRDefault="004B3F84" w:rsidP="004B3F84">
      <w:pPr>
        <w:rPr>
          <w:b/>
          <w:sz w:val="24"/>
          <w:szCs w:val="24"/>
        </w:rPr>
      </w:pPr>
      <w:r w:rsidRPr="004B3F84">
        <w:rPr>
          <w:b/>
          <w:sz w:val="24"/>
          <w:szCs w:val="24"/>
        </w:rPr>
        <w:t>NCTE Beliefs about the Teaching of Writing</w:t>
      </w:r>
      <w:r>
        <w:rPr>
          <w:b/>
          <w:sz w:val="24"/>
          <w:szCs w:val="24"/>
        </w:rPr>
        <w:t>: People learn to write by writing</w:t>
      </w:r>
    </w:p>
    <w:p w:rsidR="004B3F84" w:rsidRDefault="004B3F84" w:rsidP="004B3F84">
      <w:pPr>
        <w:rPr>
          <w:sz w:val="24"/>
          <w:szCs w:val="24"/>
        </w:rPr>
      </w:pPr>
      <w:r>
        <w:rPr>
          <w:sz w:val="24"/>
          <w:szCs w:val="24"/>
        </w:rPr>
        <w:t>“The more people write, the easier it gets and the more they are motivated to do it. Writers who write a lot learn more about the process because they have had more experience inside it.”</w:t>
      </w:r>
    </w:p>
    <w:p w:rsidR="004804BF" w:rsidRPr="00FE4D36" w:rsidRDefault="00F006D3" w:rsidP="004804BF">
      <w:pPr>
        <w:spacing w:after="0"/>
        <w:rPr>
          <w:b/>
          <w:color w:val="333333"/>
          <w:sz w:val="24"/>
          <w:szCs w:val="24"/>
        </w:rPr>
      </w:pPr>
      <w:r w:rsidRPr="00FE4D36">
        <w:rPr>
          <w:b/>
          <w:color w:val="333333"/>
          <w:sz w:val="24"/>
          <w:szCs w:val="24"/>
        </w:rPr>
        <w:t>Katherine Bomer-</w:t>
      </w:r>
    </w:p>
    <w:p w:rsidR="00E7313C" w:rsidRDefault="00336707" w:rsidP="00D66A41">
      <w:pPr>
        <w:rPr>
          <w:sz w:val="24"/>
          <w:szCs w:val="24"/>
        </w:rPr>
      </w:pPr>
      <w:r>
        <w:rPr>
          <w:sz w:val="24"/>
          <w:szCs w:val="24"/>
        </w:rPr>
        <w:t>“Whatever we do in our own writing process can provide specific, powerful lessons in writing for our students. I think we’re sometimes</w:t>
      </w:r>
      <w:r w:rsidR="00F006D3">
        <w:rPr>
          <w:sz w:val="24"/>
          <w:szCs w:val="24"/>
        </w:rPr>
        <w:t xml:space="preserve"> afraid to reveal parts of our own process, for example, the fact that we procrastinate, borrow ideas from other writers, or worry about criticism from our readers. Yet, those are precisely the kinds of revelations into the writing process that kids want and need to know.”</w:t>
      </w:r>
    </w:p>
    <w:p w:rsidR="00F90F2F" w:rsidRDefault="00F90F2F" w:rsidP="00D66A41">
      <w:pPr>
        <w:rPr>
          <w:sz w:val="24"/>
          <w:szCs w:val="24"/>
        </w:rPr>
      </w:pPr>
      <w:r>
        <w:rPr>
          <w:sz w:val="24"/>
          <w:szCs w:val="24"/>
        </w:rPr>
        <w:t>“Teaching writing without doing it ourselves</w:t>
      </w:r>
      <w:r w:rsidR="009963EE">
        <w:rPr>
          <w:sz w:val="24"/>
          <w:szCs w:val="24"/>
        </w:rPr>
        <w:t xml:space="preserve"> is like trying to teach a four-year-old how to tie shoes when we have only worn flip-flops our entire life.”</w:t>
      </w:r>
    </w:p>
    <w:p w:rsidR="00F006D3" w:rsidRDefault="00F006D3" w:rsidP="00D66A41">
      <w:pPr>
        <w:rPr>
          <w:b/>
          <w:sz w:val="24"/>
          <w:szCs w:val="24"/>
        </w:rPr>
      </w:pPr>
      <w:r>
        <w:rPr>
          <w:b/>
          <w:sz w:val="24"/>
          <w:szCs w:val="24"/>
        </w:rPr>
        <w:t>Lucy Calkins-</w:t>
      </w:r>
    </w:p>
    <w:p w:rsidR="00F006D3" w:rsidRDefault="00F006D3" w:rsidP="00D66A41">
      <w:pPr>
        <w:rPr>
          <w:sz w:val="24"/>
          <w:szCs w:val="24"/>
        </w:rPr>
      </w:pPr>
      <w:r>
        <w:rPr>
          <w:sz w:val="24"/>
          <w:szCs w:val="24"/>
        </w:rPr>
        <w:t>“The way to launch notebooks, then, is for us teachers to buy ourselves a book-or find a file, a box, a bag-and begin living our lives with consciousness that “My life belongs to me, it matters.” Once we have begun to incorporate notebooks into our lives, we can invite youngsters to do the same</w:t>
      </w:r>
      <w:r w:rsidR="00F90F2F">
        <w:rPr>
          <w:sz w:val="24"/>
          <w:szCs w:val="24"/>
        </w:rPr>
        <w:t>.”</w:t>
      </w:r>
    </w:p>
    <w:p w:rsidR="00F90F2F" w:rsidRPr="00F006D3" w:rsidRDefault="00F90F2F" w:rsidP="00D66A41">
      <w:pPr>
        <w:rPr>
          <w:sz w:val="24"/>
          <w:szCs w:val="24"/>
        </w:rPr>
      </w:pPr>
      <w:r>
        <w:rPr>
          <w:sz w:val="24"/>
          <w:szCs w:val="24"/>
        </w:rPr>
        <w:t>“How do we create a climate in our classroom in which this will happen? I know of only one answer. We write. We keep our own notebook beside us as we live. If we keep notebooks, we will expect and welcome diversity.”</w:t>
      </w:r>
    </w:p>
    <w:p w:rsidR="00E7313C" w:rsidRDefault="009963EE" w:rsidP="00D66A41">
      <w:pPr>
        <w:rPr>
          <w:b/>
          <w:sz w:val="24"/>
          <w:szCs w:val="24"/>
        </w:rPr>
      </w:pPr>
      <w:r>
        <w:rPr>
          <w:b/>
          <w:sz w:val="24"/>
          <w:szCs w:val="24"/>
        </w:rPr>
        <w:t>Randy Bomer-</w:t>
      </w:r>
    </w:p>
    <w:p w:rsidR="009963EE" w:rsidRDefault="009963EE" w:rsidP="00D66A41">
      <w:pPr>
        <w:rPr>
          <w:sz w:val="24"/>
          <w:szCs w:val="24"/>
        </w:rPr>
      </w:pPr>
      <w:r>
        <w:rPr>
          <w:sz w:val="24"/>
          <w:szCs w:val="24"/>
        </w:rPr>
        <w:t>“It dawned on me that the most important source for their</w:t>
      </w:r>
      <w:r w:rsidR="002F71F2">
        <w:rPr>
          <w:sz w:val="24"/>
          <w:szCs w:val="24"/>
        </w:rPr>
        <w:t xml:space="preserve"> [kids]</w:t>
      </w:r>
      <w:r>
        <w:rPr>
          <w:sz w:val="24"/>
          <w:szCs w:val="24"/>
        </w:rPr>
        <w:t xml:space="preserve"> knowledge about keeping a notebook might be-my own notebook. I started talking to them about how I kept my </w:t>
      </w:r>
      <w:r w:rsidR="002F71F2">
        <w:rPr>
          <w:sz w:val="24"/>
          <w:szCs w:val="24"/>
        </w:rPr>
        <w:t>notebook, when I wrote in it, how it felt to sit down with it, the variety of entry types I had found, and how it was useful in my writing.”</w:t>
      </w:r>
    </w:p>
    <w:p w:rsidR="00BE75CA" w:rsidRDefault="00BE75CA" w:rsidP="00D66A41">
      <w:pPr>
        <w:rPr>
          <w:b/>
          <w:sz w:val="24"/>
          <w:szCs w:val="24"/>
        </w:rPr>
      </w:pPr>
      <w:r>
        <w:rPr>
          <w:b/>
          <w:sz w:val="24"/>
          <w:szCs w:val="24"/>
        </w:rPr>
        <w:t>So what?</w:t>
      </w:r>
    </w:p>
    <w:p w:rsidR="00F95AD7" w:rsidRDefault="00BE75CA" w:rsidP="00D66A41">
      <w:pPr>
        <w:rPr>
          <w:sz w:val="24"/>
          <w:szCs w:val="24"/>
        </w:rPr>
      </w:pPr>
      <w:r>
        <w:rPr>
          <w:sz w:val="24"/>
          <w:szCs w:val="24"/>
        </w:rPr>
        <w:t xml:space="preserve">Let’s write! I am inviting you to write. It’s an invitation to the biggest party of the year, and </w:t>
      </w:r>
      <w:r w:rsidRPr="00BE75CA">
        <w:rPr>
          <w:b/>
          <w:sz w:val="24"/>
          <w:szCs w:val="24"/>
        </w:rPr>
        <w:t>you</w:t>
      </w:r>
      <w:r>
        <w:rPr>
          <w:sz w:val="24"/>
          <w:szCs w:val="24"/>
        </w:rPr>
        <w:t xml:space="preserve"> are invited. </w:t>
      </w:r>
      <w:r w:rsidR="004F2D3D">
        <w:rPr>
          <w:sz w:val="24"/>
          <w:szCs w:val="24"/>
        </w:rPr>
        <w:t xml:space="preserve">It’s BYOB (Bring Your Own Baggage), whatever you carry with you at all times, that which makes you, well you. That’s all you need. </w:t>
      </w:r>
      <w:r w:rsidR="009D062F">
        <w:rPr>
          <w:sz w:val="24"/>
          <w:szCs w:val="24"/>
        </w:rPr>
        <w:t>When and Where? You decide.</w:t>
      </w:r>
      <w:r w:rsidR="00F95AD7">
        <w:rPr>
          <w:sz w:val="24"/>
          <w:szCs w:val="24"/>
        </w:rPr>
        <w:t xml:space="preserve"> </w:t>
      </w:r>
    </w:p>
    <w:p w:rsidR="00334082" w:rsidRDefault="00334082" w:rsidP="00D66A41">
      <w:pPr>
        <w:rPr>
          <w:sz w:val="24"/>
          <w:szCs w:val="24"/>
        </w:rPr>
      </w:pPr>
    </w:p>
    <w:p w:rsidR="00BE75CA" w:rsidRDefault="00F95AD7" w:rsidP="00D66A41">
      <w:pPr>
        <w:rPr>
          <w:sz w:val="24"/>
          <w:szCs w:val="24"/>
        </w:rPr>
      </w:pPr>
      <w:r>
        <w:rPr>
          <w:sz w:val="24"/>
          <w:szCs w:val="24"/>
        </w:rPr>
        <w:t xml:space="preserve">Carve out a time and a space to write. In doing so, you will find your </w:t>
      </w:r>
      <w:r>
        <w:rPr>
          <w:i/>
          <w:sz w:val="24"/>
          <w:szCs w:val="24"/>
        </w:rPr>
        <w:t xml:space="preserve">querencia </w:t>
      </w:r>
      <w:r>
        <w:rPr>
          <w:sz w:val="24"/>
          <w:szCs w:val="24"/>
        </w:rPr>
        <w:t xml:space="preserve">as a writer. In Spanish, </w:t>
      </w:r>
      <w:r w:rsidRPr="00F95AD7">
        <w:rPr>
          <w:i/>
          <w:sz w:val="24"/>
          <w:szCs w:val="24"/>
        </w:rPr>
        <w:t>querencia</w:t>
      </w:r>
      <w:r>
        <w:rPr>
          <w:sz w:val="24"/>
          <w:szCs w:val="24"/>
        </w:rPr>
        <w:t xml:space="preserve"> describes a place where one feels safe, a place from which one’s strength of character is drawn, a place where one feels at home. As Georgia Heard tells us, “We know where we feel most at home. Our bodies tell us, if we listen. Writing is a way of finding and keeping our home.</w:t>
      </w:r>
      <w:r w:rsidR="001A069E">
        <w:rPr>
          <w:sz w:val="24"/>
          <w:szCs w:val="24"/>
        </w:rPr>
        <w:t>”</w:t>
      </w:r>
    </w:p>
    <w:p w:rsidR="00B848B0" w:rsidRDefault="00791EE5" w:rsidP="00D66A41">
      <w:pPr>
        <w:rPr>
          <w:b/>
          <w:sz w:val="24"/>
          <w:szCs w:val="24"/>
        </w:rPr>
      </w:pPr>
      <w:r>
        <w:rPr>
          <w:b/>
          <w:sz w:val="24"/>
          <w:szCs w:val="24"/>
        </w:rPr>
        <w:t>Invitation</w:t>
      </w:r>
      <w:r w:rsidR="00EA0473">
        <w:rPr>
          <w:b/>
          <w:sz w:val="24"/>
          <w:szCs w:val="24"/>
        </w:rPr>
        <w:t xml:space="preserve"> to Live as a Writer</w:t>
      </w:r>
      <w:r w:rsidR="00B848B0">
        <w:rPr>
          <w:b/>
          <w:sz w:val="24"/>
          <w:szCs w:val="24"/>
        </w:rPr>
        <w:t>:</w:t>
      </w:r>
    </w:p>
    <w:p w:rsidR="00EA0473" w:rsidRPr="000361AF" w:rsidRDefault="00EA0473" w:rsidP="00EA0473">
      <w:pPr>
        <w:pStyle w:val="ListParagraph"/>
        <w:numPr>
          <w:ilvl w:val="0"/>
          <w:numId w:val="3"/>
        </w:numPr>
        <w:rPr>
          <w:b/>
          <w:sz w:val="24"/>
          <w:szCs w:val="24"/>
        </w:rPr>
      </w:pPr>
      <w:r>
        <w:rPr>
          <w:sz w:val="24"/>
          <w:szCs w:val="24"/>
        </w:rPr>
        <w:t>What happens when you claim your identity as a writer? What changes?</w:t>
      </w:r>
    </w:p>
    <w:p w:rsidR="000361AF" w:rsidRPr="00EA0473" w:rsidRDefault="000361AF" w:rsidP="00EA0473">
      <w:pPr>
        <w:pStyle w:val="ListParagraph"/>
        <w:numPr>
          <w:ilvl w:val="0"/>
          <w:numId w:val="3"/>
        </w:numPr>
        <w:rPr>
          <w:b/>
          <w:sz w:val="24"/>
          <w:szCs w:val="24"/>
        </w:rPr>
      </w:pPr>
      <w:r>
        <w:rPr>
          <w:sz w:val="24"/>
          <w:szCs w:val="24"/>
        </w:rPr>
        <w:t>When you are really writing, what do you notice about your life and how you are living?</w:t>
      </w:r>
    </w:p>
    <w:p w:rsidR="00EA0473" w:rsidRPr="00EA0473" w:rsidRDefault="00EA0473" w:rsidP="00EA0473">
      <w:pPr>
        <w:pStyle w:val="ListParagraph"/>
        <w:numPr>
          <w:ilvl w:val="0"/>
          <w:numId w:val="3"/>
        </w:numPr>
        <w:rPr>
          <w:b/>
          <w:sz w:val="24"/>
          <w:szCs w:val="24"/>
        </w:rPr>
      </w:pPr>
      <w:r>
        <w:rPr>
          <w:sz w:val="24"/>
          <w:szCs w:val="24"/>
        </w:rPr>
        <w:t>How will you engage in your writing life?</w:t>
      </w:r>
    </w:p>
    <w:p w:rsidR="00EA0473" w:rsidRPr="00EA0473" w:rsidRDefault="00EA0473" w:rsidP="00EA0473">
      <w:pPr>
        <w:pStyle w:val="ListParagraph"/>
        <w:numPr>
          <w:ilvl w:val="0"/>
          <w:numId w:val="3"/>
        </w:numPr>
        <w:rPr>
          <w:b/>
          <w:sz w:val="24"/>
          <w:szCs w:val="24"/>
        </w:rPr>
      </w:pPr>
      <w:r>
        <w:rPr>
          <w:sz w:val="24"/>
          <w:szCs w:val="24"/>
        </w:rPr>
        <w:t>What happens when you embrace the tensions that surface in your own writing? What does this mean for your teaching?</w:t>
      </w:r>
    </w:p>
    <w:p w:rsidR="009D0CDA" w:rsidRDefault="009D0CDA" w:rsidP="00D66A41">
      <w:pPr>
        <w:rPr>
          <w:sz w:val="24"/>
          <w:szCs w:val="24"/>
        </w:rPr>
      </w:pPr>
    </w:p>
    <w:p w:rsidR="00D66A41" w:rsidRDefault="00D66A41" w:rsidP="00D66A41">
      <w:pPr>
        <w:rPr>
          <w:sz w:val="24"/>
          <w:szCs w:val="24"/>
        </w:rPr>
      </w:pPr>
      <w:r w:rsidRPr="004B3F84">
        <w:rPr>
          <w:sz w:val="24"/>
          <w:szCs w:val="24"/>
        </w:rPr>
        <w:t>So after thinking about ourselves as writers, how can living and engaging in our own writing life help us to think more deeply about our teaching practice?</w:t>
      </w:r>
    </w:p>
    <w:p w:rsidR="009D0CDA" w:rsidRDefault="009D0CDA" w:rsidP="004804BF">
      <w:pPr>
        <w:spacing w:after="0"/>
        <w:rPr>
          <w:b/>
          <w:color w:val="333333"/>
          <w:sz w:val="24"/>
          <w:szCs w:val="24"/>
        </w:rPr>
      </w:pPr>
    </w:p>
    <w:p w:rsidR="004804BF" w:rsidRPr="00E7313C" w:rsidRDefault="00E7313C" w:rsidP="004804BF">
      <w:pPr>
        <w:spacing w:after="0"/>
        <w:rPr>
          <w:b/>
          <w:color w:val="333333"/>
          <w:sz w:val="24"/>
          <w:szCs w:val="24"/>
        </w:rPr>
      </w:pPr>
      <w:r w:rsidRPr="00E7313C">
        <w:rPr>
          <w:b/>
          <w:color w:val="333333"/>
          <w:sz w:val="24"/>
          <w:szCs w:val="24"/>
        </w:rPr>
        <w:t>Sources:</w:t>
      </w:r>
    </w:p>
    <w:p w:rsidR="004804BF" w:rsidRDefault="004804BF" w:rsidP="004804BF">
      <w:pPr>
        <w:spacing w:after="0"/>
        <w:rPr>
          <w:color w:val="333333"/>
          <w:sz w:val="21"/>
          <w:szCs w:val="21"/>
        </w:rPr>
      </w:pPr>
    </w:p>
    <w:p w:rsidR="004804BF" w:rsidRDefault="004804BF" w:rsidP="004804BF">
      <w:pPr>
        <w:spacing w:after="0"/>
        <w:rPr>
          <w:sz w:val="21"/>
          <w:szCs w:val="21"/>
        </w:rPr>
      </w:pPr>
      <w:r>
        <w:rPr>
          <w:color w:val="333333"/>
          <w:sz w:val="21"/>
          <w:szCs w:val="21"/>
        </w:rPr>
        <w:t>Whitney, Ann  E. "</w:t>
      </w:r>
      <w:r w:rsidRPr="004804BF">
        <w:t xml:space="preserve"> </w:t>
      </w:r>
      <w:r w:rsidRPr="004804BF">
        <w:rPr>
          <w:sz w:val="21"/>
          <w:szCs w:val="21"/>
        </w:rPr>
        <w:t xml:space="preserve">Lawnmowers, Parties, and Writing Groups: What Teacher-Authors Have to Teach Us about </w:t>
      </w:r>
      <w:r>
        <w:rPr>
          <w:sz w:val="21"/>
          <w:szCs w:val="21"/>
        </w:rPr>
        <w:t xml:space="preserve">      </w:t>
      </w:r>
    </w:p>
    <w:p w:rsidR="004804BF" w:rsidRPr="004B3F84" w:rsidRDefault="004804BF" w:rsidP="004804BF">
      <w:pPr>
        <w:spacing w:after="0"/>
        <w:ind w:firstLine="720"/>
        <w:rPr>
          <w:sz w:val="24"/>
          <w:szCs w:val="24"/>
        </w:rPr>
      </w:pPr>
      <w:r w:rsidRPr="004804BF">
        <w:rPr>
          <w:sz w:val="21"/>
          <w:szCs w:val="21"/>
        </w:rPr>
        <w:t>Writing for Publication</w:t>
      </w:r>
      <w:r>
        <w:rPr>
          <w:color w:val="333333"/>
          <w:sz w:val="21"/>
          <w:szCs w:val="21"/>
        </w:rPr>
        <w:t>."</w:t>
      </w:r>
      <w:r>
        <w:rPr>
          <w:rStyle w:val="apple-converted-space"/>
          <w:color w:val="333333"/>
          <w:sz w:val="21"/>
          <w:szCs w:val="21"/>
        </w:rPr>
        <w:t> </w:t>
      </w:r>
      <w:r w:rsidRPr="004804BF">
        <w:rPr>
          <w:i/>
          <w:sz w:val="21"/>
          <w:szCs w:val="21"/>
        </w:rPr>
        <w:t>English Journal</w:t>
      </w:r>
      <w:r w:rsidRPr="004804BF">
        <w:rPr>
          <w:sz w:val="21"/>
          <w:szCs w:val="21"/>
        </w:rPr>
        <w:t xml:space="preserve"> 101.5 (2012): 51-56. Print.</w:t>
      </w:r>
    </w:p>
    <w:p w:rsidR="004B3F84" w:rsidRDefault="004B3F84" w:rsidP="004804BF">
      <w:pPr>
        <w:spacing w:after="0"/>
        <w:rPr>
          <w:sz w:val="21"/>
          <w:szCs w:val="21"/>
        </w:rPr>
      </w:pPr>
    </w:p>
    <w:p w:rsidR="004804BF" w:rsidRDefault="00F56960" w:rsidP="005B7A15">
      <w:pPr>
        <w:spacing w:after="0"/>
        <w:rPr>
          <w:i/>
          <w:sz w:val="21"/>
          <w:szCs w:val="21"/>
        </w:rPr>
      </w:pPr>
      <w:r>
        <w:rPr>
          <w:sz w:val="21"/>
          <w:szCs w:val="21"/>
        </w:rPr>
        <w:t>Bomer, Randy.</w:t>
      </w:r>
      <w:r w:rsidR="001C784A">
        <w:rPr>
          <w:sz w:val="21"/>
          <w:szCs w:val="21"/>
        </w:rPr>
        <w:t xml:space="preserve"> </w:t>
      </w:r>
      <w:r w:rsidR="004804BF">
        <w:rPr>
          <w:sz w:val="21"/>
          <w:szCs w:val="21"/>
        </w:rPr>
        <w:t xml:space="preserve"> </w:t>
      </w:r>
      <w:r w:rsidR="004804BF" w:rsidRPr="00710927">
        <w:rPr>
          <w:i/>
          <w:sz w:val="21"/>
          <w:szCs w:val="21"/>
        </w:rPr>
        <w:t>Time for Meaning</w:t>
      </w:r>
      <w:r w:rsidR="004804BF">
        <w:rPr>
          <w:sz w:val="21"/>
          <w:szCs w:val="21"/>
        </w:rPr>
        <w:t>.</w:t>
      </w:r>
      <w:r>
        <w:rPr>
          <w:sz w:val="21"/>
          <w:szCs w:val="21"/>
        </w:rPr>
        <w:t xml:space="preserve">  Portsmouth, NH:  Heinemann,</w:t>
      </w:r>
      <w:r w:rsidR="00F15BFB">
        <w:rPr>
          <w:sz w:val="21"/>
          <w:szCs w:val="21"/>
        </w:rPr>
        <w:t xml:space="preserve"> 1995.</w:t>
      </w:r>
      <w:r w:rsidR="005B7A15">
        <w:rPr>
          <w:sz w:val="21"/>
          <w:szCs w:val="21"/>
        </w:rPr>
        <w:t xml:space="preserve"> 43-44. Print.</w:t>
      </w:r>
    </w:p>
    <w:p w:rsidR="004804BF" w:rsidRDefault="004804BF" w:rsidP="004804BF">
      <w:pPr>
        <w:spacing w:after="0"/>
        <w:rPr>
          <w:i/>
          <w:sz w:val="21"/>
          <w:szCs w:val="21"/>
        </w:rPr>
      </w:pPr>
    </w:p>
    <w:p w:rsidR="004804BF" w:rsidRDefault="00F15BFB" w:rsidP="00F15BFB">
      <w:pPr>
        <w:spacing w:after="0"/>
        <w:rPr>
          <w:i/>
          <w:sz w:val="21"/>
          <w:szCs w:val="21"/>
        </w:rPr>
      </w:pPr>
      <w:r>
        <w:rPr>
          <w:sz w:val="21"/>
          <w:szCs w:val="21"/>
        </w:rPr>
        <w:t>Calkins, Lucy</w:t>
      </w:r>
      <w:r w:rsidR="004804BF">
        <w:rPr>
          <w:sz w:val="21"/>
          <w:szCs w:val="21"/>
        </w:rPr>
        <w:t xml:space="preserve">. </w:t>
      </w:r>
      <w:r>
        <w:rPr>
          <w:sz w:val="21"/>
          <w:szCs w:val="21"/>
        </w:rPr>
        <w:t xml:space="preserve"> </w:t>
      </w:r>
      <w:r w:rsidR="004804BF" w:rsidRPr="00710927">
        <w:rPr>
          <w:i/>
          <w:sz w:val="21"/>
          <w:szCs w:val="21"/>
        </w:rPr>
        <w:t>Living Between the Lines.</w:t>
      </w:r>
      <w:r w:rsidR="004804BF">
        <w:rPr>
          <w:sz w:val="21"/>
          <w:szCs w:val="21"/>
        </w:rPr>
        <w:t xml:space="preserve">  Portsmouth, NH:  Heinemann,</w:t>
      </w:r>
      <w:r>
        <w:rPr>
          <w:sz w:val="21"/>
          <w:szCs w:val="21"/>
        </w:rPr>
        <w:t xml:space="preserve"> 1991. 35-52 Print.</w:t>
      </w:r>
    </w:p>
    <w:p w:rsidR="00586303" w:rsidRDefault="00586303" w:rsidP="004804BF">
      <w:pPr>
        <w:spacing w:after="0"/>
        <w:ind w:firstLine="720"/>
        <w:rPr>
          <w:i/>
          <w:sz w:val="21"/>
          <w:szCs w:val="21"/>
        </w:rPr>
      </w:pPr>
    </w:p>
    <w:p w:rsidR="00586303" w:rsidRDefault="00F15BFB" w:rsidP="00586303">
      <w:pPr>
        <w:spacing w:after="0"/>
        <w:rPr>
          <w:sz w:val="21"/>
          <w:szCs w:val="21"/>
        </w:rPr>
      </w:pPr>
      <w:r>
        <w:rPr>
          <w:sz w:val="21"/>
          <w:szCs w:val="21"/>
        </w:rPr>
        <w:t>Bomer, Katherine</w:t>
      </w:r>
      <w:r w:rsidR="00D66A41">
        <w:rPr>
          <w:sz w:val="21"/>
          <w:szCs w:val="21"/>
        </w:rPr>
        <w:t xml:space="preserve">. </w:t>
      </w:r>
      <w:r w:rsidR="00586303" w:rsidRPr="00710927">
        <w:rPr>
          <w:i/>
          <w:sz w:val="21"/>
          <w:szCs w:val="21"/>
        </w:rPr>
        <w:t>Hidden Gems</w:t>
      </w:r>
      <w:r w:rsidR="00D66A41">
        <w:rPr>
          <w:sz w:val="21"/>
          <w:szCs w:val="21"/>
        </w:rPr>
        <w:t>.  Portsmouth, NH:  Heinemann,</w:t>
      </w:r>
      <w:r w:rsidR="00586303">
        <w:rPr>
          <w:sz w:val="21"/>
          <w:szCs w:val="21"/>
        </w:rPr>
        <w:t xml:space="preserve"> </w:t>
      </w:r>
      <w:r>
        <w:rPr>
          <w:sz w:val="21"/>
          <w:szCs w:val="21"/>
        </w:rPr>
        <w:t>2010. Print.</w:t>
      </w:r>
    </w:p>
    <w:p w:rsidR="00D66A41" w:rsidRDefault="00D66A41" w:rsidP="00586303">
      <w:pPr>
        <w:spacing w:after="0"/>
        <w:rPr>
          <w:sz w:val="21"/>
          <w:szCs w:val="21"/>
        </w:rPr>
      </w:pPr>
    </w:p>
    <w:p w:rsidR="00D66A41" w:rsidRDefault="00D66A41" w:rsidP="00586303">
      <w:pPr>
        <w:spacing w:after="0"/>
        <w:rPr>
          <w:sz w:val="21"/>
          <w:szCs w:val="21"/>
        </w:rPr>
      </w:pPr>
      <w:r>
        <w:rPr>
          <w:sz w:val="21"/>
          <w:szCs w:val="21"/>
        </w:rPr>
        <w:t xml:space="preserve">Whitney, Ann E. “Beyond Strategies: Teacher Practice, Writing Process, and the Influence of Inquiry.” </w:t>
      </w:r>
      <w:r>
        <w:rPr>
          <w:i/>
          <w:sz w:val="21"/>
          <w:szCs w:val="21"/>
        </w:rPr>
        <w:t xml:space="preserve">English </w:t>
      </w:r>
      <w:r>
        <w:rPr>
          <w:i/>
          <w:sz w:val="21"/>
          <w:szCs w:val="21"/>
        </w:rPr>
        <w:tab/>
        <w:t xml:space="preserve">Education, </w:t>
      </w:r>
      <w:r w:rsidRPr="00E7313C">
        <w:rPr>
          <w:sz w:val="21"/>
          <w:szCs w:val="21"/>
        </w:rPr>
        <w:t>V</w:t>
      </w:r>
      <w:r w:rsidR="00E7313C">
        <w:rPr>
          <w:sz w:val="21"/>
          <w:szCs w:val="21"/>
        </w:rPr>
        <w:t xml:space="preserve"> </w:t>
      </w:r>
      <w:r w:rsidRPr="00E7313C">
        <w:rPr>
          <w:sz w:val="21"/>
          <w:szCs w:val="21"/>
        </w:rPr>
        <w:t>40, N3</w:t>
      </w:r>
      <w:r w:rsidR="00E7313C" w:rsidRPr="00E7313C">
        <w:rPr>
          <w:sz w:val="21"/>
          <w:szCs w:val="21"/>
        </w:rPr>
        <w:t>, April (2008):</w:t>
      </w:r>
      <w:r w:rsidR="00E7313C">
        <w:rPr>
          <w:i/>
          <w:sz w:val="21"/>
          <w:szCs w:val="21"/>
        </w:rPr>
        <w:t xml:space="preserve"> </w:t>
      </w:r>
      <w:r w:rsidR="00E7313C">
        <w:rPr>
          <w:sz w:val="21"/>
          <w:szCs w:val="21"/>
        </w:rPr>
        <w:t>207-208. Print.</w:t>
      </w:r>
    </w:p>
    <w:p w:rsidR="00E7313C" w:rsidRDefault="00E7313C" w:rsidP="00586303">
      <w:pPr>
        <w:spacing w:after="0"/>
        <w:rPr>
          <w:sz w:val="21"/>
          <w:szCs w:val="21"/>
        </w:rPr>
      </w:pPr>
    </w:p>
    <w:p w:rsidR="00E7313C" w:rsidRDefault="00F15BFB" w:rsidP="00586303">
      <w:pPr>
        <w:spacing w:after="0"/>
        <w:rPr>
          <w:sz w:val="21"/>
          <w:szCs w:val="21"/>
        </w:rPr>
      </w:pPr>
      <w:r>
        <w:rPr>
          <w:sz w:val="21"/>
          <w:szCs w:val="21"/>
        </w:rPr>
        <w:t>Heard, Georgia</w:t>
      </w:r>
      <w:r w:rsidR="00E7313C">
        <w:rPr>
          <w:sz w:val="21"/>
          <w:szCs w:val="21"/>
        </w:rPr>
        <w:t xml:space="preserve">.  </w:t>
      </w:r>
      <w:r w:rsidR="00E7313C" w:rsidRPr="00710927">
        <w:rPr>
          <w:i/>
          <w:sz w:val="21"/>
          <w:szCs w:val="21"/>
        </w:rPr>
        <w:t>Writing Toward Home</w:t>
      </w:r>
      <w:r>
        <w:rPr>
          <w:sz w:val="21"/>
          <w:szCs w:val="21"/>
        </w:rPr>
        <w:t>.  Portsmouth, NH:  Heinemann, 1995. Print.</w:t>
      </w:r>
    </w:p>
    <w:p w:rsidR="009A0DC7" w:rsidRDefault="009A0DC7" w:rsidP="00586303">
      <w:pPr>
        <w:spacing w:after="0"/>
        <w:rPr>
          <w:sz w:val="21"/>
          <w:szCs w:val="21"/>
        </w:rPr>
      </w:pPr>
      <w:r>
        <w:rPr>
          <w:sz w:val="21"/>
          <w:szCs w:val="21"/>
        </w:rPr>
        <w:tab/>
      </w:r>
    </w:p>
    <w:p w:rsidR="009A0DC7" w:rsidRDefault="009A0DC7" w:rsidP="00586303">
      <w:pPr>
        <w:spacing w:after="0"/>
        <w:rPr>
          <w:sz w:val="21"/>
          <w:szCs w:val="21"/>
        </w:rPr>
      </w:pPr>
      <w:r>
        <w:rPr>
          <w:sz w:val="21"/>
          <w:szCs w:val="21"/>
        </w:rPr>
        <w:t xml:space="preserve">Bomer, Randy. </w:t>
      </w:r>
      <w:r>
        <w:rPr>
          <w:i/>
          <w:sz w:val="21"/>
          <w:szCs w:val="21"/>
        </w:rPr>
        <w:t>Building Adolescent Literacy in Today’s English Classrooms.</w:t>
      </w:r>
      <w:r>
        <w:rPr>
          <w:sz w:val="21"/>
          <w:szCs w:val="21"/>
        </w:rPr>
        <w:t xml:space="preserve"> Portsmouth, NH:  Heinemann, 2011. Print.</w:t>
      </w:r>
    </w:p>
    <w:p w:rsidR="00F01E36" w:rsidRDefault="00F01E36" w:rsidP="00586303">
      <w:pPr>
        <w:spacing w:after="0"/>
        <w:rPr>
          <w:sz w:val="21"/>
          <w:szCs w:val="21"/>
        </w:rPr>
      </w:pPr>
    </w:p>
    <w:p w:rsidR="00F01E36" w:rsidRDefault="00F01E36" w:rsidP="00586303">
      <w:pPr>
        <w:spacing w:after="0"/>
        <w:rPr>
          <w:sz w:val="21"/>
          <w:szCs w:val="21"/>
        </w:rPr>
      </w:pPr>
      <w:r>
        <w:rPr>
          <w:sz w:val="21"/>
          <w:szCs w:val="21"/>
        </w:rPr>
        <w:t xml:space="preserve">Cameron, Julia. </w:t>
      </w:r>
      <w:r>
        <w:rPr>
          <w:i/>
          <w:sz w:val="21"/>
          <w:szCs w:val="21"/>
        </w:rPr>
        <w:t>The Right to Write.</w:t>
      </w:r>
      <w:r>
        <w:rPr>
          <w:sz w:val="21"/>
          <w:szCs w:val="21"/>
        </w:rPr>
        <w:t xml:space="preserve">  New York:  Putnam, 1998. Print.</w:t>
      </w:r>
    </w:p>
    <w:p w:rsidR="00F01E36" w:rsidRDefault="00F01E36" w:rsidP="00586303">
      <w:pPr>
        <w:spacing w:after="0"/>
        <w:rPr>
          <w:sz w:val="21"/>
          <w:szCs w:val="21"/>
        </w:rPr>
      </w:pPr>
    </w:p>
    <w:p w:rsidR="002E50E1" w:rsidRPr="00E7313C" w:rsidRDefault="00F01E36" w:rsidP="00586303">
      <w:pPr>
        <w:spacing w:after="0"/>
        <w:rPr>
          <w:sz w:val="21"/>
          <w:szCs w:val="21"/>
        </w:rPr>
      </w:pPr>
      <w:r>
        <w:rPr>
          <w:sz w:val="21"/>
          <w:szCs w:val="21"/>
        </w:rPr>
        <w:t xml:space="preserve">Goldberg, Natalie. </w:t>
      </w:r>
      <w:r>
        <w:rPr>
          <w:i/>
          <w:sz w:val="21"/>
          <w:szCs w:val="21"/>
        </w:rPr>
        <w:t>Writing Down the Bones</w:t>
      </w:r>
      <w:r>
        <w:rPr>
          <w:sz w:val="21"/>
          <w:szCs w:val="21"/>
        </w:rPr>
        <w:t>.  Massachuset</w:t>
      </w:r>
      <w:r w:rsidR="005709A4">
        <w:rPr>
          <w:sz w:val="21"/>
          <w:szCs w:val="21"/>
        </w:rPr>
        <w:t>ts:  Shambhala Publications</w:t>
      </w:r>
      <w:r>
        <w:rPr>
          <w:sz w:val="21"/>
          <w:szCs w:val="21"/>
        </w:rPr>
        <w:t xml:space="preserve">, </w:t>
      </w:r>
      <w:r w:rsidR="005709A4">
        <w:rPr>
          <w:sz w:val="21"/>
          <w:szCs w:val="21"/>
        </w:rPr>
        <w:t xml:space="preserve"> </w:t>
      </w:r>
      <w:r>
        <w:rPr>
          <w:sz w:val="21"/>
          <w:szCs w:val="21"/>
        </w:rPr>
        <w:t>1986</w:t>
      </w:r>
      <w:r w:rsidR="005709A4">
        <w:rPr>
          <w:sz w:val="21"/>
          <w:szCs w:val="21"/>
        </w:rPr>
        <w:t>. Print.</w:t>
      </w:r>
    </w:p>
    <w:sectPr w:rsidR="002E50E1" w:rsidRPr="00E7313C" w:rsidSect="008F6C40">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E0" w:rsidRDefault="000B6AE0" w:rsidP="00DB42C7">
      <w:pPr>
        <w:spacing w:after="0" w:line="240" w:lineRule="auto"/>
      </w:pPr>
      <w:r>
        <w:separator/>
      </w:r>
    </w:p>
  </w:endnote>
  <w:endnote w:type="continuationSeparator" w:id="0">
    <w:p w:rsidR="000B6AE0" w:rsidRDefault="000B6AE0" w:rsidP="00DB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E0" w:rsidRDefault="000B6AE0" w:rsidP="00DB42C7">
      <w:pPr>
        <w:spacing w:after="0" w:line="240" w:lineRule="auto"/>
      </w:pPr>
      <w:r>
        <w:separator/>
      </w:r>
    </w:p>
  </w:footnote>
  <w:footnote w:type="continuationSeparator" w:id="0">
    <w:p w:rsidR="000B6AE0" w:rsidRDefault="000B6AE0" w:rsidP="00DB4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C7" w:rsidRDefault="00DB42C7">
    <w:pPr>
      <w:pStyle w:val="Header"/>
    </w:pPr>
    <w:r>
      <w:t>Kiesha Shepard</w:t>
    </w:r>
    <w:r>
      <w:tab/>
      <w:t xml:space="preserve">Inquiry Project- HTWP Summer Institute </w:t>
    </w:r>
    <w:r w:rsidR="00336707">
      <w:tab/>
      <w:t>2014</w:t>
    </w:r>
  </w:p>
  <w:p w:rsidR="00DB42C7" w:rsidRDefault="00DB4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B5F84"/>
    <w:multiLevelType w:val="hybridMultilevel"/>
    <w:tmpl w:val="09F4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63E8E"/>
    <w:multiLevelType w:val="hybridMultilevel"/>
    <w:tmpl w:val="FD1C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B7838"/>
    <w:multiLevelType w:val="hybridMultilevel"/>
    <w:tmpl w:val="8AEA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84"/>
    <w:rsid w:val="000240D5"/>
    <w:rsid w:val="000361AF"/>
    <w:rsid w:val="000B6AE0"/>
    <w:rsid w:val="000C4DF7"/>
    <w:rsid w:val="001132F1"/>
    <w:rsid w:val="00151D63"/>
    <w:rsid w:val="001A069E"/>
    <w:rsid w:val="001C784A"/>
    <w:rsid w:val="00220B79"/>
    <w:rsid w:val="002E50E1"/>
    <w:rsid w:val="002F71F2"/>
    <w:rsid w:val="00334082"/>
    <w:rsid w:val="00336707"/>
    <w:rsid w:val="00455D57"/>
    <w:rsid w:val="0046430E"/>
    <w:rsid w:val="004804BF"/>
    <w:rsid w:val="00487E9C"/>
    <w:rsid w:val="004A02AC"/>
    <w:rsid w:val="004B3F84"/>
    <w:rsid w:val="004B615F"/>
    <w:rsid w:val="004C10CC"/>
    <w:rsid w:val="004F2D3D"/>
    <w:rsid w:val="005709A4"/>
    <w:rsid w:val="00586303"/>
    <w:rsid w:val="005B7A15"/>
    <w:rsid w:val="00683B5D"/>
    <w:rsid w:val="006E1932"/>
    <w:rsid w:val="00710927"/>
    <w:rsid w:val="007144DD"/>
    <w:rsid w:val="0077133B"/>
    <w:rsid w:val="00791EE5"/>
    <w:rsid w:val="008260FF"/>
    <w:rsid w:val="00853C52"/>
    <w:rsid w:val="00875F96"/>
    <w:rsid w:val="008F6C40"/>
    <w:rsid w:val="009963EE"/>
    <w:rsid w:val="009A0DC7"/>
    <w:rsid w:val="009C67E9"/>
    <w:rsid w:val="009D062F"/>
    <w:rsid w:val="009D0CDA"/>
    <w:rsid w:val="009F4D82"/>
    <w:rsid w:val="00A708DD"/>
    <w:rsid w:val="00A76DEB"/>
    <w:rsid w:val="00AE7E2F"/>
    <w:rsid w:val="00B20626"/>
    <w:rsid w:val="00B61EF1"/>
    <w:rsid w:val="00B848B0"/>
    <w:rsid w:val="00BE355B"/>
    <w:rsid w:val="00BE75CA"/>
    <w:rsid w:val="00C546B3"/>
    <w:rsid w:val="00C90BC8"/>
    <w:rsid w:val="00CB484C"/>
    <w:rsid w:val="00CD1270"/>
    <w:rsid w:val="00D66A41"/>
    <w:rsid w:val="00DA3306"/>
    <w:rsid w:val="00DB42C7"/>
    <w:rsid w:val="00E16AB4"/>
    <w:rsid w:val="00E20A68"/>
    <w:rsid w:val="00E7313C"/>
    <w:rsid w:val="00EA0473"/>
    <w:rsid w:val="00F006D3"/>
    <w:rsid w:val="00F01E36"/>
    <w:rsid w:val="00F15BFB"/>
    <w:rsid w:val="00F56960"/>
    <w:rsid w:val="00F90F2F"/>
    <w:rsid w:val="00F92095"/>
    <w:rsid w:val="00F95AD7"/>
    <w:rsid w:val="00FE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indent">
    <w:name w:val="citationindent"/>
    <w:basedOn w:val="Normal"/>
    <w:rsid w:val="00480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04BF"/>
  </w:style>
  <w:style w:type="character" w:styleId="Emphasis">
    <w:name w:val="Emphasis"/>
    <w:basedOn w:val="DefaultParagraphFont"/>
    <w:uiPriority w:val="20"/>
    <w:qFormat/>
    <w:rsid w:val="004804BF"/>
    <w:rPr>
      <w:i/>
      <w:iCs/>
    </w:rPr>
  </w:style>
  <w:style w:type="paragraph" w:styleId="Header">
    <w:name w:val="header"/>
    <w:basedOn w:val="Normal"/>
    <w:link w:val="HeaderChar"/>
    <w:uiPriority w:val="99"/>
    <w:unhideWhenUsed/>
    <w:rsid w:val="00DB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2C7"/>
  </w:style>
  <w:style w:type="paragraph" w:styleId="Footer">
    <w:name w:val="footer"/>
    <w:basedOn w:val="Normal"/>
    <w:link w:val="FooterChar"/>
    <w:uiPriority w:val="99"/>
    <w:unhideWhenUsed/>
    <w:rsid w:val="00DB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2C7"/>
  </w:style>
  <w:style w:type="paragraph" w:styleId="BalloonText">
    <w:name w:val="Balloon Text"/>
    <w:basedOn w:val="Normal"/>
    <w:link w:val="BalloonTextChar"/>
    <w:uiPriority w:val="99"/>
    <w:semiHidden/>
    <w:unhideWhenUsed/>
    <w:rsid w:val="00DB4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C7"/>
    <w:rPr>
      <w:rFonts w:ascii="Tahoma" w:hAnsi="Tahoma" w:cs="Tahoma"/>
      <w:sz w:val="16"/>
      <w:szCs w:val="16"/>
    </w:rPr>
  </w:style>
  <w:style w:type="paragraph" w:styleId="ListParagraph">
    <w:name w:val="List Paragraph"/>
    <w:basedOn w:val="Normal"/>
    <w:uiPriority w:val="34"/>
    <w:qFormat/>
    <w:rsid w:val="004B6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indent">
    <w:name w:val="citationindent"/>
    <w:basedOn w:val="Normal"/>
    <w:rsid w:val="00480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04BF"/>
  </w:style>
  <w:style w:type="character" w:styleId="Emphasis">
    <w:name w:val="Emphasis"/>
    <w:basedOn w:val="DefaultParagraphFont"/>
    <w:uiPriority w:val="20"/>
    <w:qFormat/>
    <w:rsid w:val="004804BF"/>
    <w:rPr>
      <w:i/>
      <w:iCs/>
    </w:rPr>
  </w:style>
  <w:style w:type="paragraph" w:styleId="Header">
    <w:name w:val="header"/>
    <w:basedOn w:val="Normal"/>
    <w:link w:val="HeaderChar"/>
    <w:uiPriority w:val="99"/>
    <w:unhideWhenUsed/>
    <w:rsid w:val="00DB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2C7"/>
  </w:style>
  <w:style w:type="paragraph" w:styleId="Footer">
    <w:name w:val="footer"/>
    <w:basedOn w:val="Normal"/>
    <w:link w:val="FooterChar"/>
    <w:uiPriority w:val="99"/>
    <w:unhideWhenUsed/>
    <w:rsid w:val="00DB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2C7"/>
  </w:style>
  <w:style w:type="paragraph" w:styleId="BalloonText">
    <w:name w:val="Balloon Text"/>
    <w:basedOn w:val="Normal"/>
    <w:link w:val="BalloonTextChar"/>
    <w:uiPriority w:val="99"/>
    <w:semiHidden/>
    <w:unhideWhenUsed/>
    <w:rsid w:val="00DB4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C7"/>
    <w:rPr>
      <w:rFonts w:ascii="Tahoma" w:hAnsi="Tahoma" w:cs="Tahoma"/>
      <w:sz w:val="16"/>
      <w:szCs w:val="16"/>
    </w:rPr>
  </w:style>
  <w:style w:type="paragraph" w:styleId="ListParagraph">
    <w:name w:val="List Paragraph"/>
    <w:basedOn w:val="Normal"/>
    <w:uiPriority w:val="34"/>
    <w:qFormat/>
    <w:rsid w:val="004B6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43660">
      <w:bodyDiv w:val="1"/>
      <w:marLeft w:val="0"/>
      <w:marRight w:val="0"/>
      <w:marTop w:val="0"/>
      <w:marBottom w:val="0"/>
      <w:divBdr>
        <w:top w:val="none" w:sz="0" w:space="0" w:color="auto"/>
        <w:left w:val="none" w:sz="0" w:space="0" w:color="auto"/>
        <w:bottom w:val="none" w:sz="0" w:space="0" w:color="auto"/>
        <w:right w:val="none" w:sz="0" w:space="0" w:color="auto"/>
      </w:divBdr>
      <w:divsChild>
        <w:div w:id="188424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D910F-AA8B-462B-92D8-A1DFADBF7819}" type="doc">
      <dgm:prSet loTypeId="urn:microsoft.com/office/officeart/2005/8/layout/venn1" loCatId="relationship" qsTypeId="urn:microsoft.com/office/officeart/2005/8/quickstyle/simple1" qsCatId="simple" csTypeId="urn:microsoft.com/office/officeart/2005/8/colors/accent1_2" csCatId="accent1" phldr="1"/>
      <dgm:spPr/>
    </dgm:pt>
    <dgm:pt modelId="{119FF343-7D1A-4FB8-99D1-A8A7B0259916}">
      <dgm:prSet phldrT="[Text]"/>
      <dgm:spPr/>
      <dgm:t>
        <a:bodyPr/>
        <a:lstStyle/>
        <a:p>
          <a:r>
            <a:rPr lang="en-US"/>
            <a:t>Identity</a:t>
          </a:r>
        </a:p>
      </dgm:t>
    </dgm:pt>
    <dgm:pt modelId="{68923494-3609-4D7B-8FF4-373EEDF0FEC1}" type="parTrans" cxnId="{0F35B11C-C1B6-43B3-B924-05B88742BB5C}">
      <dgm:prSet/>
      <dgm:spPr/>
      <dgm:t>
        <a:bodyPr/>
        <a:lstStyle/>
        <a:p>
          <a:endParaRPr lang="en-US"/>
        </a:p>
      </dgm:t>
    </dgm:pt>
    <dgm:pt modelId="{34C01E7C-594E-4038-B1E8-67C12416FE9E}" type="sibTrans" cxnId="{0F35B11C-C1B6-43B3-B924-05B88742BB5C}">
      <dgm:prSet/>
      <dgm:spPr/>
      <dgm:t>
        <a:bodyPr/>
        <a:lstStyle/>
        <a:p>
          <a:endParaRPr lang="en-US"/>
        </a:p>
      </dgm:t>
    </dgm:pt>
    <dgm:pt modelId="{F720F232-D06A-4166-88A4-00FD8DB32F02}">
      <dgm:prSet phldrT="[Text]"/>
      <dgm:spPr/>
      <dgm:t>
        <a:bodyPr/>
        <a:lstStyle/>
        <a:p>
          <a:r>
            <a:rPr lang="en-US"/>
            <a:t>Practice</a:t>
          </a:r>
        </a:p>
      </dgm:t>
    </dgm:pt>
    <dgm:pt modelId="{84443CC2-A0CE-47F0-9ADA-4B6BB4B058DE}" type="parTrans" cxnId="{C6EAF05B-93B1-4340-8FE0-EE61EA3E1739}">
      <dgm:prSet/>
      <dgm:spPr/>
      <dgm:t>
        <a:bodyPr/>
        <a:lstStyle/>
        <a:p>
          <a:endParaRPr lang="en-US"/>
        </a:p>
      </dgm:t>
    </dgm:pt>
    <dgm:pt modelId="{AC500F73-C4D5-4E13-AE28-05212198CBDC}" type="sibTrans" cxnId="{C6EAF05B-93B1-4340-8FE0-EE61EA3E1739}">
      <dgm:prSet/>
      <dgm:spPr/>
      <dgm:t>
        <a:bodyPr/>
        <a:lstStyle/>
        <a:p>
          <a:endParaRPr lang="en-US"/>
        </a:p>
      </dgm:t>
    </dgm:pt>
    <dgm:pt modelId="{7475B0F1-6FFE-495C-8BEB-A8385E437CD4}">
      <dgm:prSet phldrT="[Text]"/>
      <dgm:spPr/>
      <dgm:t>
        <a:bodyPr/>
        <a:lstStyle/>
        <a:p>
          <a:r>
            <a:rPr lang="en-US"/>
            <a:t>Self</a:t>
          </a:r>
        </a:p>
      </dgm:t>
    </dgm:pt>
    <dgm:pt modelId="{8DD07BB5-88DD-4DC7-B68C-CE0A29A67E79}" type="parTrans" cxnId="{46E02628-7089-4038-AE70-34B9D2C15512}">
      <dgm:prSet/>
      <dgm:spPr/>
      <dgm:t>
        <a:bodyPr/>
        <a:lstStyle/>
        <a:p>
          <a:endParaRPr lang="en-US"/>
        </a:p>
      </dgm:t>
    </dgm:pt>
    <dgm:pt modelId="{895E5923-5D0E-4C19-A044-BF09CD3F87DF}" type="sibTrans" cxnId="{46E02628-7089-4038-AE70-34B9D2C15512}">
      <dgm:prSet/>
      <dgm:spPr/>
      <dgm:t>
        <a:bodyPr/>
        <a:lstStyle/>
        <a:p>
          <a:endParaRPr lang="en-US"/>
        </a:p>
      </dgm:t>
    </dgm:pt>
    <dgm:pt modelId="{76D2E73A-D112-4ED2-BAC2-70D71772826B}" type="pres">
      <dgm:prSet presAssocID="{0C9D910F-AA8B-462B-92D8-A1DFADBF7819}" presName="compositeShape" presStyleCnt="0">
        <dgm:presLayoutVars>
          <dgm:chMax val="7"/>
          <dgm:dir/>
          <dgm:resizeHandles val="exact"/>
        </dgm:presLayoutVars>
      </dgm:prSet>
      <dgm:spPr/>
    </dgm:pt>
    <dgm:pt modelId="{B1B082F1-C5D8-4277-B244-2410B5E76DCA}" type="pres">
      <dgm:prSet presAssocID="{119FF343-7D1A-4FB8-99D1-A8A7B0259916}" presName="circ1" presStyleLbl="vennNode1" presStyleIdx="0" presStyleCnt="3"/>
      <dgm:spPr/>
      <dgm:t>
        <a:bodyPr/>
        <a:lstStyle/>
        <a:p>
          <a:endParaRPr lang="en-US"/>
        </a:p>
      </dgm:t>
    </dgm:pt>
    <dgm:pt modelId="{C1248371-FEC0-4BD6-88E0-9FC86CF26E85}" type="pres">
      <dgm:prSet presAssocID="{119FF343-7D1A-4FB8-99D1-A8A7B0259916}" presName="circ1Tx" presStyleLbl="revTx" presStyleIdx="0" presStyleCnt="0">
        <dgm:presLayoutVars>
          <dgm:chMax val="0"/>
          <dgm:chPref val="0"/>
          <dgm:bulletEnabled val="1"/>
        </dgm:presLayoutVars>
      </dgm:prSet>
      <dgm:spPr/>
      <dgm:t>
        <a:bodyPr/>
        <a:lstStyle/>
        <a:p>
          <a:endParaRPr lang="en-US"/>
        </a:p>
      </dgm:t>
    </dgm:pt>
    <dgm:pt modelId="{A4DC339E-7A75-4EB2-AC6B-34096AC969E0}" type="pres">
      <dgm:prSet presAssocID="{F720F232-D06A-4166-88A4-00FD8DB32F02}" presName="circ2" presStyleLbl="vennNode1" presStyleIdx="1" presStyleCnt="3"/>
      <dgm:spPr/>
      <dgm:t>
        <a:bodyPr/>
        <a:lstStyle/>
        <a:p>
          <a:endParaRPr lang="en-US"/>
        </a:p>
      </dgm:t>
    </dgm:pt>
    <dgm:pt modelId="{B7E7FC59-A963-4375-8D49-FFB56E608B4A}" type="pres">
      <dgm:prSet presAssocID="{F720F232-D06A-4166-88A4-00FD8DB32F02}" presName="circ2Tx" presStyleLbl="revTx" presStyleIdx="0" presStyleCnt="0">
        <dgm:presLayoutVars>
          <dgm:chMax val="0"/>
          <dgm:chPref val="0"/>
          <dgm:bulletEnabled val="1"/>
        </dgm:presLayoutVars>
      </dgm:prSet>
      <dgm:spPr/>
      <dgm:t>
        <a:bodyPr/>
        <a:lstStyle/>
        <a:p>
          <a:endParaRPr lang="en-US"/>
        </a:p>
      </dgm:t>
    </dgm:pt>
    <dgm:pt modelId="{6EF83F21-2BDB-40F4-9CC0-84E70DB9FB47}" type="pres">
      <dgm:prSet presAssocID="{7475B0F1-6FFE-495C-8BEB-A8385E437CD4}" presName="circ3" presStyleLbl="vennNode1" presStyleIdx="2" presStyleCnt="3"/>
      <dgm:spPr/>
      <dgm:t>
        <a:bodyPr/>
        <a:lstStyle/>
        <a:p>
          <a:endParaRPr lang="en-US"/>
        </a:p>
      </dgm:t>
    </dgm:pt>
    <dgm:pt modelId="{E6830CF1-4FE0-4136-85FE-78DF2F359E38}" type="pres">
      <dgm:prSet presAssocID="{7475B0F1-6FFE-495C-8BEB-A8385E437CD4}" presName="circ3Tx" presStyleLbl="revTx" presStyleIdx="0" presStyleCnt="0">
        <dgm:presLayoutVars>
          <dgm:chMax val="0"/>
          <dgm:chPref val="0"/>
          <dgm:bulletEnabled val="1"/>
        </dgm:presLayoutVars>
      </dgm:prSet>
      <dgm:spPr/>
      <dgm:t>
        <a:bodyPr/>
        <a:lstStyle/>
        <a:p>
          <a:endParaRPr lang="en-US"/>
        </a:p>
      </dgm:t>
    </dgm:pt>
  </dgm:ptLst>
  <dgm:cxnLst>
    <dgm:cxn modelId="{B827BC54-B80D-4333-A5AE-FDFEB3B3BD90}" type="presOf" srcId="{F720F232-D06A-4166-88A4-00FD8DB32F02}" destId="{A4DC339E-7A75-4EB2-AC6B-34096AC969E0}" srcOrd="0" destOrd="0" presId="urn:microsoft.com/office/officeart/2005/8/layout/venn1"/>
    <dgm:cxn modelId="{C6EAF05B-93B1-4340-8FE0-EE61EA3E1739}" srcId="{0C9D910F-AA8B-462B-92D8-A1DFADBF7819}" destId="{F720F232-D06A-4166-88A4-00FD8DB32F02}" srcOrd="1" destOrd="0" parTransId="{84443CC2-A0CE-47F0-9ADA-4B6BB4B058DE}" sibTransId="{AC500F73-C4D5-4E13-AE28-05212198CBDC}"/>
    <dgm:cxn modelId="{C6B68462-3F39-4483-981E-020F9E6F749C}" type="presOf" srcId="{F720F232-D06A-4166-88A4-00FD8DB32F02}" destId="{B7E7FC59-A963-4375-8D49-FFB56E608B4A}" srcOrd="1" destOrd="0" presId="urn:microsoft.com/office/officeart/2005/8/layout/venn1"/>
    <dgm:cxn modelId="{46E02628-7089-4038-AE70-34B9D2C15512}" srcId="{0C9D910F-AA8B-462B-92D8-A1DFADBF7819}" destId="{7475B0F1-6FFE-495C-8BEB-A8385E437CD4}" srcOrd="2" destOrd="0" parTransId="{8DD07BB5-88DD-4DC7-B68C-CE0A29A67E79}" sibTransId="{895E5923-5D0E-4C19-A044-BF09CD3F87DF}"/>
    <dgm:cxn modelId="{A4BFEB01-D89C-496A-916C-838F20355F4D}" type="presOf" srcId="{119FF343-7D1A-4FB8-99D1-A8A7B0259916}" destId="{C1248371-FEC0-4BD6-88E0-9FC86CF26E85}" srcOrd="1" destOrd="0" presId="urn:microsoft.com/office/officeart/2005/8/layout/venn1"/>
    <dgm:cxn modelId="{0F35B11C-C1B6-43B3-B924-05B88742BB5C}" srcId="{0C9D910F-AA8B-462B-92D8-A1DFADBF7819}" destId="{119FF343-7D1A-4FB8-99D1-A8A7B0259916}" srcOrd="0" destOrd="0" parTransId="{68923494-3609-4D7B-8FF4-373EEDF0FEC1}" sibTransId="{34C01E7C-594E-4038-B1E8-67C12416FE9E}"/>
    <dgm:cxn modelId="{620CB600-52D8-4F04-B297-6A1EDACCF120}" type="presOf" srcId="{7475B0F1-6FFE-495C-8BEB-A8385E437CD4}" destId="{E6830CF1-4FE0-4136-85FE-78DF2F359E38}" srcOrd="1" destOrd="0" presId="urn:microsoft.com/office/officeart/2005/8/layout/venn1"/>
    <dgm:cxn modelId="{9CB63C0C-26E0-41E6-9ECE-0DD696733F5D}" type="presOf" srcId="{0C9D910F-AA8B-462B-92D8-A1DFADBF7819}" destId="{76D2E73A-D112-4ED2-BAC2-70D71772826B}" srcOrd="0" destOrd="0" presId="urn:microsoft.com/office/officeart/2005/8/layout/venn1"/>
    <dgm:cxn modelId="{367EFB58-DEA3-4B09-B7C3-F15CF0D4B938}" type="presOf" srcId="{119FF343-7D1A-4FB8-99D1-A8A7B0259916}" destId="{B1B082F1-C5D8-4277-B244-2410B5E76DCA}" srcOrd="0" destOrd="0" presId="urn:microsoft.com/office/officeart/2005/8/layout/venn1"/>
    <dgm:cxn modelId="{21381FE9-31EC-4BC7-915C-578D4D360687}" type="presOf" srcId="{7475B0F1-6FFE-495C-8BEB-A8385E437CD4}" destId="{6EF83F21-2BDB-40F4-9CC0-84E70DB9FB47}" srcOrd="0" destOrd="0" presId="urn:microsoft.com/office/officeart/2005/8/layout/venn1"/>
    <dgm:cxn modelId="{8FB76797-D8F0-452B-9B0E-05623E583468}" type="presParOf" srcId="{76D2E73A-D112-4ED2-BAC2-70D71772826B}" destId="{B1B082F1-C5D8-4277-B244-2410B5E76DCA}" srcOrd="0" destOrd="0" presId="urn:microsoft.com/office/officeart/2005/8/layout/venn1"/>
    <dgm:cxn modelId="{997AD26D-6B49-4CA0-AE18-82AB158D391C}" type="presParOf" srcId="{76D2E73A-D112-4ED2-BAC2-70D71772826B}" destId="{C1248371-FEC0-4BD6-88E0-9FC86CF26E85}" srcOrd="1" destOrd="0" presId="urn:microsoft.com/office/officeart/2005/8/layout/venn1"/>
    <dgm:cxn modelId="{981352B7-210C-4003-862A-7146F8DA63AD}" type="presParOf" srcId="{76D2E73A-D112-4ED2-BAC2-70D71772826B}" destId="{A4DC339E-7A75-4EB2-AC6B-34096AC969E0}" srcOrd="2" destOrd="0" presId="urn:microsoft.com/office/officeart/2005/8/layout/venn1"/>
    <dgm:cxn modelId="{B7D559D7-C709-41DC-91C7-25BA865699EC}" type="presParOf" srcId="{76D2E73A-D112-4ED2-BAC2-70D71772826B}" destId="{B7E7FC59-A963-4375-8D49-FFB56E608B4A}" srcOrd="3" destOrd="0" presId="urn:microsoft.com/office/officeart/2005/8/layout/venn1"/>
    <dgm:cxn modelId="{A665D4D4-A0FD-4813-A1A9-F8F8663137D4}" type="presParOf" srcId="{76D2E73A-D112-4ED2-BAC2-70D71772826B}" destId="{6EF83F21-2BDB-40F4-9CC0-84E70DB9FB47}" srcOrd="4" destOrd="0" presId="urn:microsoft.com/office/officeart/2005/8/layout/venn1"/>
    <dgm:cxn modelId="{DEA0A2B3-7B46-4BE0-BF2E-AC940ED0514C}" type="presParOf" srcId="{76D2E73A-D112-4ED2-BAC2-70D71772826B}" destId="{E6830CF1-4FE0-4136-85FE-78DF2F359E38}"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B082F1-C5D8-4277-B244-2410B5E76DCA}">
      <dsp:nvSpPr>
        <dsp:cNvPr id="0" name=""/>
        <dsp:cNvSpPr/>
      </dsp:nvSpPr>
      <dsp:spPr>
        <a:xfrm>
          <a:off x="839152" y="13454"/>
          <a:ext cx="645795" cy="64579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Identity</a:t>
          </a:r>
        </a:p>
      </dsp:txBody>
      <dsp:txXfrm>
        <a:off x="925258" y="126468"/>
        <a:ext cx="473583" cy="290607"/>
      </dsp:txXfrm>
    </dsp:sp>
    <dsp:sp modelId="{A4DC339E-7A75-4EB2-AC6B-34096AC969E0}">
      <dsp:nvSpPr>
        <dsp:cNvPr id="0" name=""/>
        <dsp:cNvSpPr/>
      </dsp:nvSpPr>
      <dsp:spPr>
        <a:xfrm>
          <a:off x="1072176" y="417075"/>
          <a:ext cx="645795" cy="64579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Practice</a:t>
          </a:r>
        </a:p>
      </dsp:txBody>
      <dsp:txXfrm>
        <a:off x="1269682" y="583906"/>
        <a:ext cx="387477" cy="355187"/>
      </dsp:txXfrm>
    </dsp:sp>
    <dsp:sp modelId="{6EF83F21-2BDB-40F4-9CC0-84E70DB9FB47}">
      <dsp:nvSpPr>
        <dsp:cNvPr id="0" name=""/>
        <dsp:cNvSpPr/>
      </dsp:nvSpPr>
      <dsp:spPr>
        <a:xfrm>
          <a:off x="606128" y="417075"/>
          <a:ext cx="645795" cy="64579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Self</a:t>
          </a:r>
        </a:p>
      </dsp:txBody>
      <dsp:txXfrm>
        <a:off x="666940" y="583906"/>
        <a:ext cx="387477" cy="35518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CSISD</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csisd</dc:creator>
  <cp:lastModifiedBy>Windows User</cp:lastModifiedBy>
  <cp:revision>2</cp:revision>
  <dcterms:created xsi:type="dcterms:W3CDTF">2014-09-10T20:09:00Z</dcterms:created>
  <dcterms:modified xsi:type="dcterms:W3CDTF">2014-09-10T20:09:00Z</dcterms:modified>
</cp:coreProperties>
</file>